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line="600" w:lineRule="atLeast"/>
        <w:ind w:left="0" w:right="0" w:firstLine="0"/>
        <w:jc w:val="left"/>
        <w:rPr>
          <w:rFonts w:hint="eastAsia" w:ascii="微软雅黑" w:hAnsi="微软雅黑" w:eastAsia="微软雅黑" w:cs="微软雅黑"/>
          <w:i w:val="0"/>
          <w:caps w:val="0"/>
          <w:color w:val="212121"/>
          <w:spacing w:val="0"/>
          <w:sz w:val="16"/>
          <w:szCs w:val="16"/>
        </w:rPr>
      </w:pPr>
      <w:r>
        <w:rPr>
          <w:rFonts w:hint="eastAsia" w:ascii="方正黑体_GBK" w:hAnsi="方正黑体_GBK" w:eastAsia="方正黑体_GBK" w:cs="方正黑体_GBK"/>
          <w:i w:val="0"/>
          <w:caps w:val="0"/>
          <w:color w:val="212121"/>
          <w:spacing w:val="0"/>
          <w:kern w:val="0"/>
          <w:sz w:val="32"/>
          <w:szCs w:val="32"/>
          <w:shd w:val="clear" w:fill="FFFFFF"/>
          <w:lang w:val="en-US" w:eastAsia="zh-CN" w:bidi="ar"/>
        </w:rPr>
        <w:t>附件</w:t>
      </w:r>
      <w:r>
        <w:rPr>
          <w:rFonts w:ascii="方正小标宋_GBK" w:hAnsi="方正小标宋_GBK" w:eastAsia="方正小标宋_GBK" w:cs="方正小标宋_GBK"/>
          <w:b/>
          <w:i w:val="0"/>
          <w:caps w:val="0"/>
          <w:color w:val="212121"/>
          <w:spacing w:val="0"/>
          <w:kern w:val="0"/>
          <w:sz w:val="44"/>
          <w:szCs w:val="44"/>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0"/>
        <w:jc w:val="center"/>
        <w:rPr>
          <w:rFonts w:hint="eastAsia" w:ascii="微软雅黑" w:hAnsi="微软雅黑" w:eastAsia="微软雅黑" w:cs="微软雅黑"/>
          <w:i w:val="0"/>
          <w:caps w:val="0"/>
          <w:color w:val="212121"/>
          <w:spacing w:val="0"/>
          <w:sz w:val="16"/>
          <w:szCs w:val="16"/>
        </w:rPr>
      </w:pPr>
      <w:bookmarkStart w:id="0" w:name="_GoBack"/>
      <w:r>
        <w:rPr>
          <w:rFonts w:hint="eastAsia" w:ascii="方正小标宋_GBK" w:hAnsi="方正小标宋_GBK" w:eastAsia="方正小标宋_GBK" w:cs="方正小标宋_GBK"/>
          <w:b/>
          <w:i w:val="0"/>
          <w:caps w:val="0"/>
          <w:color w:val="212121"/>
          <w:spacing w:val="0"/>
          <w:kern w:val="0"/>
          <w:sz w:val="44"/>
          <w:szCs w:val="44"/>
          <w:shd w:val="clear" w:fill="FFFFFF"/>
          <w:lang w:val="en-US" w:eastAsia="zh-CN" w:bidi="ar"/>
        </w:rPr>
        <w:t>重庆市教育科学“十三五”规划2020年度</w:t>
      </w:r>
    </w:p>
    <w:p>
      <w:pPr>
        <w:keepNext w:val="0"/>
        <w:keepLines w:val="0"/>
        <w:widowControl/>
        <w:suppressLineNumbers w:val="0"/>
        <w:shd w:val="clear" w:fill="FFFFFF"/>
        <w:spacing w:before="0" w:beforeAutospacing="1" w:after="0" w:afterAutospacing="1" w:line="600" w:lineRule="atLeast"/>
        <w:ind w:left="0" w:right="0" w:firstLine="0"/>
        <w:jc w:val="both"/>
        <w:rPr>
          <w:rFonts w:hint="eastAsia" w:ascii="微软雅黑" w:hAnsi="微软雅黑" w:eastAsia="微软雅黑" w:cs="微软雅黑"/>
          <w:i w:val="0"/>
          <w:caps w:val="0"/>
          <w:color w:val="212121"/>
          <w:spacing w:val="0"/>
          <w:sz w:val="16"/>
          <w:szCs w:val="16"/>
        </w:rPr>
      </w:pPr>
      <w:r>
        <w:rPr>
          <w:rFonts w:hint="eastAsia" w:ascii="方正小标宋_GBK" w:hAnsi="方正小标宋_GBK" w:eastAsia="方正小标宋_GBK" w:cs="方正小标宋_GBK"/>
          <w:b/>
          <w:i w:val="0"/>
          <w:caps w:val="0"/>
          <w:color w:val="212121"/>
          <w:spacing w:val="0"/>
          <w:kern w:val="0"/>
          <w:sz w:val="44"/>
          <w:szCs w:val="44"/>
          <w:shd w:val="clear" w:fill="FFFFFF"/>
          <w:lang w:val="en-US" w:eastAsia="zh-CN" w:bidi="ar"/>
        </w:rPr>
        <w:t>“教育督导评估监测”专项课题选题指南</w:t>
      </w:r>
    </w:p>
    <w:bookmarkEnd w:id="0"/>
    <w:p>
      <w:pPr>
        <w:keepNext w:val="0"/>
        <w:keepLines w:val="0"/>
        <w:widowControl/>
        <w:suppressLineNumbers w:val="0"/>
        <w:shd w:val="clear" w:fill="FFFFFF"/>
        <w:spacing w:before="0" w:beforeAutospacing="1" w:after="0" w:afterAutospacing="1" w:line="600" w:lineRule="atLeast"/>
        <w:ind w:left="0" w:right="0" w:firstLine="0"/>
        <w:jc w:val="center"/>
        <w:rPr>
          <w:rFonts w:hint="eastAsia" w:ascii="微软雅黑" w:hAnsi="微软雅黑" w:eastAsia="微软雅黑" w:cs="微软雅黑"/>
          <w:i w:val="0"/>
          <w:caps w:val="0"/>
          <w:color w:val="212121"/>
          <w:spacing w:val="0"/>
          <w:sz w:val="16"/>
          <w:szCs w:val="16"/>
        </w:rPr>
      </w:pPr>
      <w:r>
        <w:rPr>
          <w:rFonts w:hint="eastAsia" w:ascii="方正小标宋_GBK" w:hAnsi="方正小标宋_GBK" w:eastAsia="方正小标宋_GBK" w:cs="方正小标宋_GBK"/>
          <w:b/>
          <w:i w:val="0"/>
          <w:caps w:val="0"/>
          <w:color w:val="212121"/>
          <w:spacing w:val="0"/>
          <w:kern w:val="0"/>
          <w:sz w:val="44"/>
          <w:szCs w:val="44"/>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0"/>
        <w:jc w:val="left"/>
        <w:rPr>
          <w:rFonts w:hint="eastAsia" w:ascii="微软雅黑" w:hAnsi="微软雅黑" w:eastAsia="微软雅黑" w:cs="微软雅黑"/>
          <w:i w:val="0"/>
          <w:caps w:val="0"/>
          <w:color w:val="212121"/>
          <w:spacing w:val="0"/>
          <w:sz w:val="16"/>
          <w:szCs w:val="16"/>
        </w:rPr>
      </w:pPr>
      <w:r>
        <w:rPr>
          <w:rFonts w:ascii="方正仿宋_GBK" w:hAnsi="方正仿宋_GBK" w:eastAsia="方正仿宋_GBK" w:cs="方正仿宋_GBK"/>
          <w:b/>
          <w:i w:val="0"/>
          <w:caps w:val="0"/>
          <w:color w:val="212121"/>
          <w:spacing w:val="0"/>
          <w:kern w:val="0"/>
          <w:sz w:val="32"/>
          <w:szCs w:val="32"/>
          <w:shd w:val="clear" w:fill="FFFFFF"/>
          <w:lang w:val="en-US" w:eastAsia="zh-CN" w:bidi="ar"/>
        </w:rPr>
        <w:t>选题说明：</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1.专项课题面向教育督导评估监测研究专业人员、督导人员、学校管理人员与教师，针对现实问题，研究先进经验，突出调查研究，鼓励开展教育督导评估监测实验。</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2.指南中设重点课题和一般课题，涉及学前教育、义务教育、高中阶段教育、高等教育以及综合教育研究。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3.课题申报者可在课题指南范围内选题，进行深化研究，也可自行选题。申报选题要从工作实际出发，着眼于为教育督导评估监测发展服务，提高教育督导评估监测能力与水平。</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4.研究者应关注目前教育评估与监测领域存在的难点与热点问题，关注前沿问题，重视基础研究，加强应用研究，强调实证数据。鼓励研究者和教育行政部门管理者以及教育实践者合作开展研究，鼓励跨学科、跨部门合作，运用新方法，形成新认识，创造新成果。</w:t>
      </w:r>
    </w:p>
    <w:p>
      <w:pPr>
        <w:keepNext w:val="0"/>
        <w:keepLines w:val="0"/>
        <w:widowControl/>
        <w:suppressLineNumbers w:val="0"/>
        <w:shd w:val="clear" w:fill="FFFFFF"/>
        <w:spacing w:before="0" w:beforeAutospacing="1" w:after="0" w:afterAutospacing="1" w:line="600" w:lineRule="atLeast"/>
        <w:ind w:left="0" w:right="0" w:firstLine="643"/>
        <w:jc w:val="left"/>
        <w:rPr>
          <w:rFonts w:hint="eastAsia" w:ascii="微软雅黑" w:hAnsi="微软雅黑" w:eastAsia="微软雅黑" w:cs="微软雅黑"/>
          <w:i w:val="0"/>
          <w:caps w:val="0"/>
          <w:color w:val="212121"/>
          <w:spacing w:val="0"/>
          <w:sz w:val="16"/>
          <w:szCs w:val="16"/>
        </w:rPr>
      </w:pPr>
      <w:r>
        <w:rPr>
          <w:rFonts w:hint="eastAsia" w:ascii="黑体" w:hAnsi="宋体" w:eastAsia="黑体" w:cs="黑体"/>
          <w:b/>
          <w:i w:val="0"/>
          <w:caps w:val="0"/>
          <w:color w:val="212121"/>
          <w:spacing w:val="0"/>
          <w:kern w:val="0"/>
          <w:sz w:val="32"/>
          <w:szCs w:val="32"/>
          <w:shd w:val="clear" w:fill="FFFFFF"/>
          <w:lang w:val="en-US" w:eastAsia="zh-CN" w:bidi="ar"/>
        </w:rPr>
        <w:t>一、重点课题</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1.重庆市深化新时代教育督导问责机制研究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2.重庆市义务教育学校落实立德树人根本任务督导评估指标体系构建实践研究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3.深化新时代教育评价改革研究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4.中小学全息智能评价体系研究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5.职业学校“三教”改革实施绩效评价研究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6.普通高等学校师范类专业认证质量保障体系建设研究</w:t>
      </w:r>
    </w:p>
    <w:p>
      <w:pPr>
        <w:keepNext w:val="0"/>
        <w:keepLines w:val="0"/>
        <w:widowControl/>
        <w:suppressLineNumbers w:val="0"/>
        <w:shd w:val="clear" w:fill="FFFFFF"/>
        <w:spacing w:before="0" w:beforeAutospacing="1" w:after="0" w:afterAutospacing="1" w:line="600" w:lineRule="atLeast"/>
        <w:ind w:left="0" w:right="0" w:firstLine="643"/>
        <w:jc w:val="left"/>
        <w:rPr>
          <w:rFonts w:hint="eastAsia" w:ascii="微软雅黑" w:hAnsi="微软雅黑" w:eastAsia="微软雅黑" w:cs="微软雅黑"/>
          <w:i w:val="0"/>
          <w:caps w:val="0"/>
          <w:color w:val="212121"/>
          <w:spacing w:val="0"/>
          <w:sz w:val="16"/>
          <w:szCs w:val="16"/>
        </w:rPr>
      </w:pPr>
      <w:r>
        <w:rPr>
          <w:rFonts w:hint="eastAsia" w:ascii="黑体" w:hAnsi="宋体" w:eastAsia="黑体" w:cs="黑体"/>
          <w:b/>
          <w:i w:val="0"/>
          <w:caps w:val="0"/>
          <w:color w:val="212121"/>
          <w:spacing w:val="0"/>
          <w:kern w:val="0"/>
          <w:sz w:val="32"/>
          <w:szCs w:val="32"/>
          <w:shd w:val="clear" w:fill="FFFFFF"/>
          <w:lang w:val="en-US" w:eastAsia="zh-CN" w:bidi="ar"/>
        </w:rPr>
        <w:t>二、一般课题</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1.重庆市中小学（幼儿园、中职学校）安全教育督导评估指标体系研究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2.重庆市教育督导体制与机制深化研究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3.区县政府履行教育职责评价结果应用研究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4.新时代教育政策评价研究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5.教育发展规划评价研究</w:t>
      </w:r>
    </w:p>
    <w:p>
      <w:pPr>
        <w:keepNext w:val="0"/>
        <w:keepLines w:val="0"/>
        <w:widowControl/>
        <w:suppressLineNumbers w:val="0"/>
        <w:shd w:val="clear" w:fill="FFFFFF"/>
        <w:spacing w:before="0" w:beforeAutospacing="1" w:after="0" w:afterAutospacing="1" w:line="600" w:lineRule="atLeast"/>
        <w:ind w:left="0" w:right="0" w:firstLine="614"/>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6.重庆市中小学（幼儿园、中职学校）学校督导运行机制研究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7. 重庆市中小学（幼儿园、中职学校）劳动教育评价指标体系研究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8.重庆市中小学生心理健康教育评估研究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9.学校思政课建设督导评估研究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10.区域教育（学校教育、学生发展）质量标准与评价研究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11.德育（劳动、体育、艺术教育）课程与教学评价研究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12.义务教育（普通高中）学生综合素质评价与应用研究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13.普通高中国际课程班教育质量评估研究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14.学校治理体系与治理能力评价研究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15.新时代家校共育标准与评价研究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16.基于数字化运用的学校教育监测与评价研究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17.学前教育质量监测与评价研究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18.中等职业学校办学能力与教育质量评价研究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19.职业教育1+X证书实施绩效评价研究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20.产教融合型企业（产业学院）认证评价研究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21.高校教学质量评估研究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22.高等职业院校适应社会需求能力研究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23.职业院校培训质量评价研究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24.教师教育职前职后一体化建设体制机制研究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25.基于OBE认证理念的师范生实践教学体系评价研究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26.教师培训项目（在线教师教育）绩效评估研究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27.高水平高职学校建设质量保障体系研究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28.中小学德育工作（中小学生德育发展现状、学科德育）监测评价工具及指标体系研究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29.中小学生学习策略（厌学情绪、学业负担、成绩两级分化）现状及影响因素研究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30.中小学生身心健康（心理健康教育）及影响因素监测工具及指标体系研究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31.中小学生艺术素养（美育发展、美育课程开发）现状及影响因素研究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32.中小学生劳育发展（劳动教育课程开发）的现状及影响因素研究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33.学校管理对学生学业质量（教师专业发展）影响研究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34.中小学班主任工作质量及其影响因素研究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35.家庭教育观（家庭氛围、家庭教育）现状及影响因素研究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36.现代信息技术与教学深度融合现状及影响因素研究</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640"/>
        <w:jc w:val="left"/>
        <w:rPr>
          <w:rFonts w:hint="eastAsia" w:ascii="微软雅黑" w:hAnsi="微软雅黑" w:eastAsia="微软雅黑" w:cs="微软雅黑"/>
          <w:i w:val="0"/>
          <w:caps w:val="0"/>
          <w:color w:val="212121"/>
          <w:spacing w:val="0"/>
          <w:sz w:val="16"/>
          <w:szCs w:val="16"/>
        </w:rPr>
      </w:pPr>
      <w:r>
        <w:rPr>
          <w:rFonts w:hint="eastAsia" w:ascii="仿宋" w:hAnsi="仿宋" w:eastAsia="仿宋" w:cs="仿宋"/>
          <w:i w:val="0"/>
          <w:caps w:val="0"/>
          <w:color w:val="212121"/>
          <w:spacing w:val="0"/>
          <w:kern w:val="0"/>
          <w:sz w:val="32"/>
          <w:szCs w:val="32"/>
          <w:shd w:val="clear" w:fill="FFFFFF"/>
          <w:lang w:val="en-US" w:eastAsia="zh-CN" w:bidi="ar"/>
        </w:rPr>
        <w:t> </w:t>
      </w:r>
    </w:p>
    <w:p>
      <w:pPr>
        <w:keepNext w:val="0"/>
        <w:keepLines w:val="0"/>
        <w:widowControl/>
        <w:suppressLineNumbers w:val="0"/>
        <w:shd w:val="clear" w:fill="FFFFFF"/>
        <w:spacing w:before="0" w:beforeAutospacing="1" w:after="0" w:afterAutospacing="1" w:line="600" w:lineRule="atLeast"/>
        <w:ind w:left="0" w:right="0" w:firstLine="420"/>
        <w:jc w:val="left"/>
        <w:rPr>
          <w:rFonts w:hint="eastAsia" w:ascii="微软雅黑" w:hAnsi="微软雅黑" w:eastAsia="微软雅黑" w:cs="微软雅黑"/>
          <w:i w:val="0"/>
          <w:caps w:val="0"/>
          <w:color w:val="212121"/>
          <w:spacing w:val="0"/>
          <w:sz w:val="16"/>
          <w:szCs w:val="16"/>
        </w:rPr>
      </w:pPr>
      <w:r>
        <w:rPr>
          <w:rFonts w:hint="eastAsia" w:ascii="微软雅黑" w:hAnsi="微软雅黑" w:eastAsia="微软雅黑" w:cs="微软雅黑"/>
          <w:i w:val="0"/>
          <w:caps w:val="0"/>
          <w:color w:val="212121"/>
          <w:spacing w:val="0"/>
          <w:kern w:val="0"/>
          <w:sz w:val="16"/>
          <w:szCs w:val="16"/>
          <w:shd w:val="clear" w:fill="FFFFFF"/>
          <w:lang w:val="en-US" w:eastAsia="zh-CN" w:bidi="ar"/>
        </w:rPr>
        <w:drawing>
          <wp:inline distT="0" distB="0" distL="114300" distR="114300">
            <wp:extent cx="5610225" cy="9525"/>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10225" cy="9525"/>
                    </a:xfrm>
                    <a:prstGeom prst="rect">
                      <a:avLst/>
                    </a:prstGeom>
                    <a:noFill/>
                    <a:ln w="9525">
                      <a:noFill/>
                    </a:ln>
                  </pic:spPr>
                </pic:pic>
              </a:graphicData>
            </a:graphic>
          </wp:inline>
        </w:drawing>
      </w:r>
      <w:r>
        <w:rPr>
          <w:rFonts w:hint="eastAsia" w:ascii="仿宋" w:hAnsi="仿宋" w:eastAsia="仿宋" w:cs="仿宋"/>
          <w:i w:val="0"/>
          <w:caps w:val="0"/>
          <w:color w:val="212121"/>
          <w:spacing w:val="0"/>
          <w:kern w:val="0"/>
          <w:sz w:val="32"/>
          <w:szCs w:val="32"/>
          <w:shd w:val="clear" w:fill="FFFFFF"/>
          <w:lang w:val="en-US" w:eastAsia="zh-CN" w:bidi="ar"/>
        </w:rPr>
        <w:t> </w:t>
      </w:r>
    </w:p>
    <w:p>
      <w:r>
        <w:rPr>
          <w:rFonts w:hint="eastAsia" w:ascii="微软雅黑" w:hAnsi="微软雅黑" w:eastAsia="微软雅黑" w:cs="微软雅黑"/>
          <w:i w:val="0"/>
          <w:caps w:val="0"/>
          <w:color w:val="212121"/>
          <w:spacing w:val="0"/>
          <w:kern w:val="0"/>
          <w:sz w:val="16"/>
          <w:szCs w:val="16"/>
          <w:shd w:val="clear" w:fill="FFFFFF"/>
          <w:lang w:val="en-US" w:eastAsia="zh-CN" w:bidi="ar"/>
        </w:rPr>
        <w:drawing>
          <wp:inline distT="0" distB="0" distL="114300" distR="114300">
            <wp:extent cx="5610225" cy="952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5610225" cy="9525"/>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ED2506"/>
    <w:rsid w:val="2FED2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2020-11-27T00:56:00Z</dcterms:created>
  <dc:creator>玫明欢</dc:creator>
  <cp:lastModifiedBy>玫明欢</cp:lastModifiedBy>
  <dcterms:modified xsi:type="dcterms:W3CDTF">2020-11-27T01:11:03Z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