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9FD" w:rsidRPr="009049FD" w:rsidRDefault="009049FD" w:rsidP="009049FD">
      <w:pPr>
        <w:widowControl/>
        <w:spacing w:line="6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 w:val="en"/>
        </w:rPr>
      </w:pPr>
      <w:r w:rsidRPr="009049FD">
        <w:rPr>
          <w:rFonts w:ascii="方正黑体_GBK" w:eastAsia="方正黑体_GBK" w:hAnsi="宋体" w:cs="宋体" w:hint="eastAsia"/>
          <w:color w:val="333333"/>
          <w:kern w:val="0"/>
          <w:sz w:val="32"/>
          <w:szCs w:val="32"/>
          <w:lang w:val="en"/>
        </w:rPr>
        <w:t>附件</w:t>
      </w:r>
    </w:p>
    <w:p w:rsidR="009049FD" w:rsidRPr="009049FD" w:rsidRDefault="009049FD" w:rsidP="009049FD">
      <w:pPr>
        <w:spacing w:line="660" w:lineRule="exact"/>
        <w:contextualSpacing/>
        <w:jc w:val="center"/>
        <w:rPr>
          <w:rFonts w:ascii="宋体" w:eastAsia="宋体" w:hAnsi="宋体" w:cs="宋体"/>
          <w:color w:val="333333"/>
          <w:kern w:val="0"/>
          <w:sz w:val="24"/>
          <w:szCs w:val="24"/>
          <w:lang w:val="en"/>
        </w:rPr>
      </w:pPr>
      <w:r w:rsidRPr="009049FD">
        <w:rPr>
          <w:rFonts w:ascii="方正小标宋_GBK" w:eastAsia="方正小标宋_GBK" w:hAnsi="宋体" w:cs="宋体" w:hint="eastAsia"/>
          <w:color w:val="333333"/>
          <w:kern w:val="0"/>
          <w:sz w:val="44"/>
          <w:szCs w:val="44"/>
          <w:lang w:val="en"/>
        </w:rPr>
        <w:t> </w:t>
      </w:r>
    </w:p>
    <w:p w:rsidR="009049FD" w:rsidRPr="009049FD" w:rsidRDefault="009049FD" w:rsidP="009049FD">
      <w:pPr>
        <w:spacing w:line="660" w:lineRule="exact"/>
        <w:contextualSpacing/>
        <w:jc w:val="center"/>
        <w:rPr>
          <w:rFonts w:ascii="宋体" w:eastAsia="宋体" w:hAnsi="宋体" w:cs="宋体"/>
          <w:color w:val="333333"/>
          <w:kern w:val="0"/>
          <w:sz w:val="24"/>
          <w:szCs w:val="24"/>
          <w:lang w:val="en"/>
        </w:rPr>
      </w:pPr>
      <w:r w:rsidRPr="009049FD">
        <w:rPr>
          <w:rFonts w:ascii="方正小标宋_GBK" w:eastAsia="方正小标宋_GBK" w:hAnsi="宋体" w:cs="宋体" w:hint="eastAsia"/>
          <w:color w:val="333333"/>
          <w:kern w:val="0"/>
          <w:sz w:val="44"/>
          <w:szCs w:val="44"/>
          <w:lang w:val="en"/>
        </w:rPr>
        <w:t>2022年四川省、重庆市社科规划</w:t>
      </w:r>
    </w:p>
    <w:p w:rsidR="009049FD" w:rsidRPr="009049FD" w:rsidRDefault="009049FD" w:rsidP="009049FD">
      <w:pPr>
        <w:spacing w:line="660" w:lineRule="exact"/>
        <w:contextualSpacing/>
        <w:jc w:val="center"/>
        <w:rPr>
          <w:rFonts w:ascii="宋体" w:eastAsia="宋体" w:hAnsi="宋体" w:cs="宋体"/>
          <w:color w:val="333333"/>
          <w:kern w:val="0"/>
          <w:sz w:val="24"/>
          <w:szCs w:val="24"/>
          <w:lang w:val="en"/>
        </w:rPr>
      </w:pPr>
      <w:r w:rsidRPr="009049FD">
        <w:rPr>
          <w:rFonts w:ascii="方正小标宋_GBK" w:eastAsia="方正小标宋_GBK" w:hAnsi="宋体" w:cs="宋体" w:hint="eastAsia"/>
          <w:color w:val="333333"/>
          <w:kern w:val="0"/>
          <w:sz w:val="44"/>
          <w:szCs w:val="44"/>
          <w:lang w:val="en"/>
        </w:rPr>
        <w:t>“成渝地区双城经济圈建设”重大项目</w:t>
      </w:r>
    </w:p>
    <w:p w:rsidR="009049FD" w:rsidRPr="009049FD" w:rsidRDefault="009049FD" w:rsidP="009049FD">
      <w:pPr>
        <w:spacing w:line="660" w:lineRule="exact"/>
        <w:contextualSpacing/>
        <w:jc w:val="center"/>
        <w:rPr>
          <w:rFonts w:ascii="宋体" w:eastAsia="宋体" w:hAnsi="宋体" w:cs="宋体"/>
          <w:color w:val="333333"/>
          <w:kern w:val="0"/>
          <w:sz w:val="24"/>
          <w:szCs w:val="24"/>
          <w:lang w:val="en"/>
        </w:rPr>
      </w:pPr>
      <w:r w:rsidRPr="009049FD">
        <w:rPr>
          <w:rFonts w:ascii="方正小标宋_GBK" w:eastAsia="方正小标宋_GBK" w:hAnsi="宋体" w:cs="宋体" w:hint="eastAsia"/>
          <w:color w:val="333333"/>
          <w:kern w:val="0"/>
          <w:sz w:val="44"/>
          <w:szCs w:val="44"/>
          <w:lang w:val="en"/>
        </w:rPr>
        <w:t>申报指南</w:t>
      </w:r>
    </w:p>
    <w:p w:rsidR="009049FD" w:rsidRPr="009049FD" w:rsidRDefault="009049FD" w:rsidP="009049FD">
      <w:pPr>
        <w:widowControl/>
        <w:spacing w:line="480" w:lineRule="auto"/>
        <w:jc w:val="left"/>
        <w:rPr>
          <w:rFonts w:ascii="Helvetica" w:eastAsia="宋体" w:hAnsi="Helvetica" w:cs="Arial"/>
          <w:color w:val="333333"/>
          <w:kern w:val="0"/>
          <w:szCs w:val="21"/>
          <w:lang w:val="en"/>
        </w:rPr>
      </w:pPr>
      <w:r w:rsidRPr="009049FD">
        <w:rPr>
          <w:rFonts w:ascii="Verdana" w:eastAsia="等线" w:hAnsi="Verdana" w:cs="黑体" w:hint="eastAsia"/>
          <w:color w:val="333333"/>
          <w:szCs w:val="21"/>
          <w:lang w:val="en"/>
        </w:rPr>
        <w:t xml:space="preserve"> </w:t>
      </w:r>
    </w:p>
    <w:p w:rsidR="009049FD" w:rsidRPr="009049FD" w:rsidRDefault="009049FD" w:rsidP="009049FD">
      <w:pPr>
        <w:widowControl/>
        <w:spacing w:line="480" w:lineRule="auto"/>
        <w:jc w:val="left"/>
        <w:rPr>
          <w:rFonts w:ascii="Helvetica" w:eastAsia="宋体" w:hAnsi="Helvetica" w:cs="Arial"/>
          <w:color w:val="333333"/>
          <w:kern w:val="0"/>
          <w:szCs w:val="21"/>
          <w:lang w:val="en"/>
        </w:rPr>
      </w:pPr>
      <w:r w:rsidRPr="009049FD">
        <w:rPr>
          <w:rFonts w:ascii="Verdana" w:eastAsia="等线" w:hAnsi="Verdana" w:cs="黑体" w:hint="eastAsia"/>
          <w:color w:val="333333"/>
          <w:szCs w:val="21"/>
          <w:lang w:val="en"/>
        </w:rPr>
        <w:t xml:space="preserve"> </w:t>
      </w:r>
    </w:p>
    <w:p w:rsidR="009049FD" w:rsidRPr="009049FD" w:rsidRDefault="009049FD" w:rsidP="009049FD">
      <w:pPr>
        <w:widowControl/>
        <w:spacing w:line="600" w:lineRule="exact"/>
        <w:contextualSpacing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 w:val="en"/>
        </w:rPr>
      </w:pPr>
      <w:r w:rsidRPr="009049FD">
        <w:rPr>
          <w:rFonts w:ascii="方正仿宋_GBK" w:eastAsia="方正仿宋_GBK" w:hAnsi="宋体" w:cs="宋体" w:hint="eastAsia"/>
          <w:color w:val="333333"/>
          <w:sz w:val="32"/>
          <w:szCs w:val="32"/>
          <w:lang w:val="en"/>
        </w:rPr>
        <w:t>1．成渝地区要素资源市场一体化研究</w:t>
      </w:r>
    </w:p>
    <w:p w:rsidR="009049FD" w:rsidRPr="009049FD" w:rsidRDefault="009049FD" w:rsidP="009049FD">
      <w:pPr>
        <w:widowControl/>
        <w:spacing w:line="600" w:lineRule="exact"/>
        <w:contextualSpacing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 w:val="en"/>
        </w:rPr>
      </w:pPr>
      <w:r w:rsidRPr="009049FD">
        <w:rPr>
          <w:rFonts w:ascii="方正仿宋_GBK" w:eastAsia="方正仿宋_GBK" w:hAnsi="宋体" w:cs="宋体" w:hint="eastAsia"/>
          <w:color w:val="333333"/>
          <w:sz w:val="32"/>
          <w:szCs w:val="32"/>
          <w:lang w:val="en"/>
        </w:rPr>
        <w:t>2．成渝地区现代流通网络建设研究</w:t>
      </w:r>
    </w:p>
    <w:p w:rsidR="009049FD" w:rsidRPr="009049FD" w:rsidRDefault="009049FD" w:rsidP="009049FD">
      <w:pPr>
        <w:widowControl/>
        <w:spacing w:line="600" w:lineRule="exact"/>
        <w:contextualSpacing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 w:val="en"/>
        </w:rPr>
      </w:pPr>
      <w:r w:rsidRPr="009049FD">
        <w:rPr>
          <w:rFonts w:ascii="方正仿宋_GBK" w:eastAsia="方正仿宋_GBK" w:hAnsi="宋体" w:cs="宋体" w:hint="eastAsia"/>
          <w:color w:val="333333"/>
          <w:sz w:val="32"/>
          <w:szCs w:val="32"/>
          <w:lang w:val="en"/>
        </w:rPr>
        <w:t>3．成渝企业跨境投融资创新研究</w:t>
      </w:r>
    </w:p>
    <w:p w:rsidR="009049FD" w:rsidRPr="009049FD" w:rsidRDefault="009049FD" w:rsidP="009049FD">
      <w:pPr>
        <w:widowControl/>
        <w:spacing w:line="600" w:lineRule="exact"/>
        <w:contextualSpacing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 w:val="en"/>
        </w:rPr>
      </w:pPr>
      <w:r w:rsidRPr="009049FD">
        <w:rPr>
          <w:rFonts w:ascii="方正仿宋_GBK" w:eastAsia="方正仿宋_GBK" w:hAnsi="宋体" w:cs="宋体" w:hint="eastAsia"/>
          <w:color w:val="333333"/>
          <w:sz w:val="32"/>
          <w:szCs w:val="32"/>
          <w:lang w:val="en"/>
        </w:rPr>
        <w:t>4．成渝地区双城经济圈协同创新体系建设研究</w:t>
      </w:r>
    </w:p>
    <w:p w:rsidR="009049FD" w:rsidRPr="009049FD" w:rsidRDefault="009049FD" w:rsidP="009049FD">
      <w:pPr>
        <w:widowControl/>
        <w:spacing w:line="600" w:lineRule="exact"/>
        <w:contextualSpacing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 w:val="en"/>
        </w:rPr>
      </w:pPr>
      <w:r w:rsidRPr="009049FD">
        <w:rPr>
          <w:rFonts w:ascii="方正仿宋_GBK" w:eastAsia="方正仿宋_GBK" w:hAnsi="宋体" w:cs="宋体" w:hint="eastAsia"/>
          <w:color w:val="333333"/>
          <w:sz w:val="32"/>
          <w:szCs w:val="32"/>
          <w:lang w:val="en"/>
        </w:rPr>
        <w:t>5．基于金融生态的成渝共建西部金融中心路径研究</w:t>
      </w:r>
    </w:p>
    <w:p w:rsidR="009049FD" w:rsidRPr="009049FD" w:rsidRDefault="009049FD" w:rsidP="009049FD">
      <w:pPr>
        <w:widowControl/>
        <w:spacing w:line="600" w:lineRule="exact"/>
        <w:contextualSpacing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 w:val="en"/>
        </w:rPr>
      </w:pPr>
      <w:r w:rsidRPr="009049FD">
        <w:rPr>
          <w:rFonts w:ascii="方正仿宋_GBK" w:eastAsia="方正仿宋_GBK" w:hAnsi="宋体" w:cs="宋体" w:hint="eastAsia"/>
          <w:color w:val="333333"/>
          <w:sz w:val="32"/>
          <w:szCs w:val="32"/>
          <w:lang w:val="en"/>
        </w:rPr>
        <w:t>6．成渝地区双城经济圈法治文化集群建设研究</w:t>
      </w:r>
    </w:p>
    <w:p w:rsidR="009049FD" w:rsidRPr="009049FD" w:rsidRDefault="009049FD" w:rsidP="009049FD">
      <w:pPr>
        <w:widowControl/>
        <w:spacing w:line="600" w:lineRule="exact"/>
        <w:contextualSpacing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 w:val="en"/>
        </w:rPr>
      </w:pPr>
      <w:r w:rsidRPr="009049FD">
        <w:rPr>
          <w:rFonts w:ascii="方正仿宋_GBK" w:eastAsia="方正仿宋_GBK" w:hAnsi="宋体" w:cs="宋体" w:hint="eastAsia"/>
          <w:color w:val="333333"/>
          <w:sz w:val="32"/>
          <w:szCs w:val="32"/>
          <w:lang w:val="en"/>
        </w:rPr>
        <w:t>7．成渝地区双城经济圈一体化发展评价指标体系研究</w:t>
      </w:r>
    </w:p>
    <w:p w:rsidR="009049FD" w:rsidRPr="009049FD" w:rsidRDefault="009049FD" w:rsidP="009049FD">
      <w:pPr>
        <w:widowControl/>
        <w:spacing w:line="600" w:lineRule="exact"/>
        <w:contextualSpacing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 w:val="en"/>
        </w:rPr>
      </w:pPr>
      <w:r w:rsidRPr="009049FD">
        <w:rPr>
          <w:rFonts w:ascii="方正仿宋_GBK" w:eastAsia="方正仿宋_GBK" w:hAnsi="宋体" w:cs="宋体" w:hint="eastAsia"/>
          <w:color w:val="333333"/>
          <w:sz w:val="32"/>
          <w:szCs w:val="32"/>
          <w:lang w:val="en"/>
        </w:rPr>
        <w:t>8．成渝地区革命文物保护利用合作示范机制研究</w:t>
      </w:r>
    </w:p>
    <w:p w:rsidR="009049FD" w:rsidRPr="009049FD" w:rsidRDefault="009049FD" w:rsidP="009049FD">
      <w:pPr>
        <w:widowControl/>
        <w:spacing w:line="600" w:lineRule="exact"/>
        <w:contextualSpacing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 w:val="en"/>
        </w:rPr>
      </w:pPr>
      <w:r w:rsidRPr="009049FD">
        <w:rPr>
          <w:rFonts w:ascii="方正仿宋_GBK" w:eastAsia="方正仿宋_GBK" w:hAnsi="宋体" w:cs="宋体" w:hint="eastAsia"/>
          <w:color w:val="333333"/>
          <w:sz w:val="32"/>
          <w:szCs w:val="32"/>
          <w:lang w:val="en"/>
        </w:rPr>
        <w:t>9．成渝地区双城经济圈行政执法协作联动机制研究</w:t>
      </w:r>
    </w:p>
    <w:p w:rsidR="009049FD" w:rsidRPr="009049FD" w:rsidRDefault="009049FD" w:rsidP="009049FD">
      <w:pPr>
        <w:widowControl/>
        <w:spacing w:line="600" w:lineRule="exact"/>
        <w:contextualSpacing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 w:val="en"/>
        </w:rPr>
      </w:pPr>
      <w:r w:rsidRPr="009049FD">
        <w:rPr>
          <w:rFonts w:ascii="方正仿宋_GBK" w:eastAsia="方正仿宋_GBK" w:hAnsi="宋体" w:cs="宋体" w:hint="eastAsia"/>
          <w:color w:val="333333"/>
          <w:sz w:val="32"/>
          <w:szCs w:val="32"/>
          <w:lang w:val="en"/>
        </w:rPr>
        <w:t>10．川渝地区司法服务一体化协作机制研究</w:t>
      </w:r>
    </w:p>
    <w:p w:rsidR="009049FD" w:rsidRPr="009049FD" w:rsidRDefault="009049FD" w:rsidP="009049FD">
      <w:pPr>
        <w:widowControl/>
        <w:spacing w:line="600" w:lineRule="exact"/>
        <w:contextualSpacing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 w:val="en"/>
        </w:rPr>
      </w:pPr>
      <w:r w:rsidRPr="009049FD">
        <w:rPr>
          <w:rFonts w:ascii="方正仿宋_GBK" w:eastAsia="方正仿宋_GBK" w:hAnsi="宋体" w:cs="宋体" w:hint="eastAsia"/>
          <w:color w:val="333333"/>
          <w:sz w:val="32"/>
          <w:szCs w:val="32"/>
          <w:lang w:val="en"/>
        </w:rPr>
        <w:t>11．成渝地区双城经济圈乡村振兴与职业教育高质量发展融合研究</w:t>
      </w:r>
    </w:p>
    <w:p w:rsidR="009049FD" w:rsidRPr="009049FD" w:rsidRDefault="009049FD" w:rsidP="009049FD">
      <w:pPr>
        <w:widowControl/>
        <w:spacing w:line="600" w:lineRule="exact"/>
        <w:contextualSpacing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 w:val="en"/>
        </w:rPr>
      </w:pPr>
      <w:r w:rsidRPr="009049FD">
        <w:rPr>
          <w:rFonts w:ascii="方正仿宋_GBK" w:eastAsia="方正仿宋_GBK" w:hAnsi="宋体" w:cs="宋体" w:hint="eastAsia"/>
          <w:color w:val="333333"/>
          <w:sz w:val="32"/>
          <w:szCs w:val="32"/>
          <w:lang w:val="en"/>
        </w:rPr>
        <w:t>12．川渝媒介发展与城市历史研究</w:t>
      </w:r>
    </w:p>
    <w:p w:rsidR="009049FD" w:rsidRPr="009049FD" w:rsidRDefault="009049FD" w:rsidP="009049FD">
      <w:pPr>
        <w:widowControl/>
        <w:spacing w:line="600" w:lineRule="exact"/>
        <w:contextualSpacing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 w:val="en"/>
        </w:rPr>
      </w:pPr>
      <w:r w:rsidRPr="009049FD">
        <w:rPr>
          <w:rFonts w:ascii="方正仿宋_GBK" w:eastAsia="方正仿宋_GBK" w:hAnsi="宋体" w:cs="宋体" w:hint="eastAsia"/>
          <w:color w:val="333333"/>
          <w:sz w:val="32"/>
          <w:szCs w:val="32"/>
          <w:lang w:val="en"/>
        </w:rPr>
        <w:t>13．成渝地区双城经济圈联手打造内陆开放高地研究</w:t>
      </w:r>
    </w:p>
    <w:p w:rsidR="009049FD" w:rsidRPr="009049FD" w:rsidRDefault="009049FD" w:rsidP="009049FD">
      <w:pPr>
        <w:widowControl/>
        <w:spacing w:line="600" w:lineRule="exact"/>
        <w:contextualSpacing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 w:val="en"/>
        </w:rPr>
      </w:pPr>
      <w:r w:rsidRPr="009049FD">
        <w:rPr>
          <w:rFonts w:ascii="方正仿宋_GBK" w:eastAsia="方正仿宋_GBK" w:hAnsi="宋体" w:cs="宋体" w:hint="eastAsia"/>
          <w:color w:val="333333"/>
          <w:sz w:val="32"/>
          <w:szCs w:val="32"/>
          <w:lang w:val="en"/>
        </w:rPr>
        <w:t>14．成渝地区双城经济圈共同建设高标准市场体系研究</w:t>
      </w:r>
    </w:p>
    <w:p w:rsidR="009049FD" w:rsidRPr="009049FD" w:rsidRDefault="009049FD" w:rsidP="009049FD">
      <w:pPr>
        <w:widowControl/>
        <w:spacing w:line="600" w:lineRule="exact"/>
        <w:contextualSpacing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 w:val="en"/>
        </w:rPr>
      </w:pPr>
      <w:r w:rsidRPr="009049FD">
        <w:rPr>
          <w:rFonts w:ascii="方正仿宋_GBK" w:eastAsia="方正仿宋_GBK" w:hAnsi="宋体" w:cs="宋体" w:hint="eastAsia"/>
          <w:color w:val="333333"/>
          <w:sz w:val="32"/>
          <w:szCs w:val="32"/>
          <w:lang w:val="en"/>
        </w:rPr>
        <w:lastRenderedPageBreak/>
        <w:t>15．成渝地区双城经济圈共同营造一流营商环境研究</w:t>
      </w:r>
    </w:p>
    <w:p w:rsidR="009049FD" w:rsidRPr="009049FD" w:rsidRDefault="009049FD" w:rsidP="009049FD">
      <w:pPr>
        <w:widowControl/>
        <w:spacing w:line="600" w:lineRule="exact"/>
        <w:contextualSpacing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 w:val="en"/>
        </w:rPr>
      </w:pPr>
      <w:r w:rsidRPr="009049FD">
        <w:rPr>
          <w:rFonts w:ascii="方正仿宋_GBK" w:eastAsia="方正仿宋_GBK" w:hAnsi="宋体" w:cs="宋体" w:hint="eastAsia"/>
          <w:color w:val="333333"/>
          <w:sz w:val="32"/>
          <w:szCs w:val="32"/>
          <w:lang w:val="en"/>
        </w:rPr>
        <w:t>16．成渝地区双城经济圈促进双圈互动两翼协同研究</w:t>
      </w:r>
    </w:p>
    <w:p w:rsidR="009049FD" w:rsidRPr="009049FD" w:rsidRDefault="009049FD" w:rsidP="009049FD">
      <w:pPr>
        <w:widowControl/>
        <w:spacing w:line="600" w:lineRule="exact"/>
        <w:contextualSpacing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 w:val="en"/>
        </w:rPr>
      </w:pPr>
      <w:r w:rsidRPr="009049FD">
        <w:rPr>
          <w:rFonts w:ascii="方正仿宋_GBK" w:eastAsia="方正仿宋_GBK" w:hAnsi="宋体" w:cs="宋体" w:hint="eastAsia"/>
          <w:color w:val="333333"/>
          <w:sz w:val="32"/>
          <w:szCs w:val="32"/>
          <w:lang w:val="en"/>
        </w:rPr>
        <w:t>17．成渝地区双城经济圈协同建设现代产业体系研究</w:t>
      </w:r>
    </w:p>
    <w:p w:rsidR="009049FD" w:rsidRPr="009049FD" w:rsidRDefault="009049FD" w:rsidP="009049FD">
      <w:pPr>
        <w:widowControl/>
        <w:spacing w:line="600" w:lineRule="exact"/>
        <w:contextualSpacing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 w:val="en"/>
        </w:rPr>
      </w:pPr>
      <w:r w:rsidRPr="009049FD">
        <w:rPr>
          <w:rFonts w:ascii="方正仿宋_GBK" w:eastAsia="方正仿宋_GBK" w:hAnsi="宋体" w:cs="宋体" w:hint="eastAsia"/>
          <w:color w:val="333333"/>
          <w:sz w:val="32"/>
          <w:szCs w:val="32"/>
          <w:lang w:val="en"/>
        </w:rPr>
        <w:t>18．成渝地区双城经济圈构建多元融合的消费业态研究</w:t>
      </w:r>
    </w:p>
    <w:p w:rsidR="009049FD" w:rsidRPr="009049FD" w:rsidRDefault="009049FD" w:rsidP="009049FD">
      <w:pPr>
        <w:widowControl/>
        <w:spacing w:line="600" w:lineRule="exact"/>
        <w:contextualSpacing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 w:val="en"/>
        </w:rPr>
      </w:pPr>
      <w:r w:rsidRPr="009049FD">
        <w:rPr>
          <w:rFonts w:ascii="方正仿宋_GBK" w:eastAsia="方正仿宋_GBK" w:hAnsi="宋体" w:cs="宋体" w:hint="eastAsia"/>
          <w:color w:val="333333"/>
          <w:sz w:val="32"/>
          <w:szCs w:val="32"/>
          <w:lang w:val="en"/>
        </w:rPr>
        <w:t>19．成渝地区双城经济圈推动城乡公共资源均衡配置研究</w:t>
      </w:r>
    </w:p>
    <w:p w:rsidR="009049FD" w:rsidRPr="009049FD" w:rsidRDefault="009049FD" w:rsidP="009049FD">
      <w:pPr>
        <w:widowControl/>
        <w:spacing w:line="600" w:lineRule="exact"/>
        <w:contextualSpacing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 w:val="en"/>
        </w:rPr>
      </w:pPr>
      <w:r w:rsidRPr="009049FD">
        <w:rPr>
          <w:rFonts w:ascii="方正仿宋_GBK" w:eastAsia="方正仿宋_GBK" w:hAnsi="宋体" w:cs="宋体" w:hint="eastAsia"/>
          <w:color w:val="333333"/>
          <w:sz w:val="32"/>
          <w:szCs w:val="32"/>
          <w:lang w:val="en"/>
        </w:rPr>
        <w:t>20．成渝地区双城经济圈农业高质量一体化发展研究</w:t>
      </w:r>
    </w:p>
    <w:p w:rsidR="005A3240" w:rsidRPr="009049FD" w:rsidRDefault="005A3240">
      <w:pPr>
        <w:rPr>
          <w:lang w:val="en"/>
        </w:rPr>
      </w:pPr>
      <w:bookmarkStart w:id="0" w:name="_GoBack"/>
      <w:bookmarkEnd w:id="0"/>
    </w:p>
    <w:sectPr w:rsidR="005A3240" w:rsidRPr="00904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956" w:rsidRDefault="00893956" w:rsidP="009049FD">
      <w:r>
        <w:separator/>
      </w:r>
    </w:p>
  </w:endnote>
  <w:endnote w:type="continuationSeparator" w:id="0">
    <w:p w:rsidR="00893956" w:rsidRDefault="00893956" w:rsidP="00904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956" w:rsidRDefault="00893956" w:rsidP="009049FD">
      <w:r>
        <w:separator/>
      </w:r>
    </w:p>
  </w:footnote>
  <w:footnote w:type="continuationSeparator" w:id="0">
    <w:p w:rsidR="00893956" w:rsidRDefault="00893956" w:rsidP="00904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55"/>
    <w:rsid w:val="00595455"/>
    <w:rsid w:val="005A3240"/>
    <w:rsid w:val="00893956"/>
    <w:rsid w:val="0090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A13EC3-3DF4-4EE8-8AB5-F554E8FB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4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49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4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49FD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9049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正文文本 Char"/>
    <w:basedOn w:val="a0"/>
    <w:link w:val="a5"/>
    <w:uiPriority w:val="99"/>
    <w:semiHidden/>
    <w:rsid w:val="009049FD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5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9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89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438</Characters>
  <Application>Microsoft Office Word</Application>
  <DocSecurity>0</DocSecurity>
  <Lines>3</Lines>
  <Paragraphs>1</Paragraphs>
  <ScaleCrop>false</ScaleCrop>
  <Company>微软中国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李世毅</dc:creator>
  <cp:keywords/>
  <dc:description/>
  <cp:lastModifiedBy>李世毅</cp:lastModifiedBy>
  <cp:revision>2</cp:revision>
  <dcterms:created xsi:type="dcterms:W3CDTF">2022-05-24T09:17:00Z</dcterms:created>
  <dcterms:modified xsi:type="dcterms:W3CDTF">2022-05-24T09:17:00Z</dcterms:modified>
</cp:coreProperties>
</file>